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CC0F" w14:textId="77777777" w:rsidR="00932FEC" w:rsidRPr="0048309D" w:rsidRDefault="00932FEC" w:rsidP="00932FEC">
      <w:pPr>
        <w:spacing w:after="0"/>
        <w:rPr>
          <w:rFonts w:asciiTheme="minorHAnsi" w:hAnsiTheme="minorHAnsi"/>
          <w:color w:val="auto"/>
        </w:rPr>
      </w:pPr>
      <w:r w:rsidRPr="0048309D">
        <w:rPr>
          <w:rFonts w:ascii="Verdana" w:hAnsi="Verdana"/>
          <w:noProof/>
          <w:color w:val="auto"/>
          <w:sz w:val="44"/>
          <w:szCs w:val="44"/>
        </w:rPr>
        <w:drawing>
          <wp:inline distT="0" distB="0" distL="0" distR="0" wp14:anchorId="7665FB33" wp14:editId="4162D262">
            <wp:extent cx="5943600" cy="914400"/>
            <wp:effectExtent l="0" t="0" r="0" b="0"/>
            <wp:docPr id="1" name="Picture 1"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4A025BBA" w14:textId="77777777" w:rsidR="00932FEC" w:rsidRPr="0048309D" w:rsidRDefault="00932FEC" w:rsidP="00932FEC">
      <w:pPr>
        <w:spacing w:after="0"/>
        <w:rPr>
          <w:rFonts w:asciiTheme="minorHAnsi" w:hAnsiTheme="minorHAnsi"/>
          <w:color w:val="auto"/>
        </w:rPr>
      </w:pPr>
    </w:p>
    <w:p w14:paraId="5785C736" w14:textId="77777777" w:rsidR="00932FEC" w:rsidRPr="0048309D" w:rsidRDefault="00932FEC" w:rsidP="00932FEC">
      <w:pPr>
        <w:spacing w:after="0"/>
        <w:rPr>
          <w:rFonts w:asciiTheme="minorHAnsi" w:hAnsiTheme="minorHAnsi"/>
          <w:color w:val="auto"/>
        </w:rPr>
      </w:pPr>
    </w:p>
    <w:p w14:paraId="423837E3" w14:textId="77777777" w:rsidR="00932FEC" w:rsidRPr="0048309D" w:rsidRDefault="00932FEC" w:rsidP="00932FEC">
      <w:pPr>
        <w:spacing w:after="0"/>
        <w:rPr>
          <w:rFonts w:asciiTheme="minorHAnsi" w:hAnsiTheme="minorHAnsi"/>
          <w:color w:val="auto"/>
        </w:rPr>
      </w:pPr>
    </w:p>
    <w:p w14:paraId="01C4CE12" w14:textId="77777777" w:rsidR="00932FEC" w:rsidRPr="0048309D" w:rsidRDefault="00932FEC" w:rsidP="00932FEC">
      <w:pPr>
        <w:spacing w:after="0"/>
        <w:rPr>
          <w:rFonts w:asciiTheme="minorHAnsi" w:hAnsiTheme="minorHAnsi"/>
          <w:color w:val="auto"/>
        </w:rPr>
      </w:pPr>
    </w:p>
    <w:p w14:paraId="76222A67" w14:textId="77777777" w:rsidR="00932FEC" w:rsidRPr="0048309D" w:rsidRDefault="00932FEC" w:rsidP="00932FEC">
      <w:pPr>
        <w:spacing w:after="0"/>
        <w:rPr>
          <w:rFonts w:asciiTheme="minorHAnsi" w:hAnsiTheme="minorHAnsi"/>
          <w:color w:val="auto"/>
        </w:rPr>
      </w:pPr>
    </w:p>
    <w:p w14:paraId="17C1B586" w14:textId="77777777" w:rsidR="00932FEC" w:rsidRPr="0048309D" w:rsidRDefault="00932FEC" w:rsidP="00932FEC">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7D5D82B5" w14:textId="77777777" w:rsidR="00932FEC" w:rsidRPr="0048309D" w:rsidRDefault="00932FEC" w:rsidP="00932FEC">
      <w:pPr>
        <w:spacing w:after="0"/>
        <w:rPr>
          <w:rFonts w:asciiTheme="minorHAnsi" w:hAnsiTheme="minorHAnsi"/>
          <w:color w:val="auto"/>
        </w:rPr>
      </w:pPr>
    </w:p>
    <w:p w14:paraId="1796E40B" w14:textId="77777777" w:rsidR="00932FEC" w:rsidRDefault="00932FEC" w:rsidP="00932FEC">
      <w:pPr>
        <w:pStyle w:val="Title"/>
      </w:pPr>
      <w:r>
        <w:t>Direct-To-Consumer Testing</w:t>
      </w:r>
      <w:r w:rsidRPr="0048309D">
        <w:t xml:space="preserve"> </w:t>
      </w:r>
    </w:p>
    <w:p w14:paraId="076C6054" w14:textId="3792D8E0" w:rsidR="00932FEC" w:rsidRDefault="00932FEC" w:rsidP="00932FEC">
      <w:pPr>
        <w:pStyle w:val="Title"/>
      </w:pPr>
      <w:r w:rsidRPr="0048309D">
        <w:t>in the Genomic Age</w:t>
      </w:r>
    </w:p>
    <w:p w14:paraId="63B832AE" w14:textId="77777777" w:rsidR="00932FEC" w:rsidRDefault="00932FEC" w:rsidP="00932FEC">
      <w:pPr>
        <w:jc w:val="center"/>
      </w:pPr>
    </w:p>
    <w:p w14:paraId="2C7D37F2" w14:textId="77777777" w:rsidR="00932FEC" w:rsidRDefault="00932FEC" w:rsidP="00932FEC">
      <w:pPr>
        <w:jc w:val="center"/>
      </w:pPr>
      <w:r>
        <w:rPr>
          <w:noProof/>
        </w:rPr>
        <w:drawing>
          <wp:anchor distT="0" distB="0" distL="114300" distR="114300" simplePos="0" relativeHeight="251674624" behindDoc="1" locked="0" layoutInCell="1" allowOverlap="1" wp14:anchorId="072DC103" wp14:editId="0152478A">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5AD8069E" w14:textId="77777777" w:rsidR="00932FEC" w:rsidRPr="0048309D" w:rsidRDefault="00932FEC" w:rsidP="00932FEC">
      <w:pPr>
        <w:keepNext/>
        <w:keepLines/>
        <w:spacing w:before="240" w:line="276" w:lineRule="auto"/>
        <w:jc w:val="center"/>
        <w:outlineLvl w:val="0"/>
        <w:rPr>
          <w:rFonts w:eastAsiaTheme="majorEastAsia" w:cstheme="majorBidi"/>
          <w:sz w:val="36"/>
          <w:szCs w:val="36"/>
        </w:rPr>
      </w:pPr>
    </w:p>
    <w:p w14:paraId="2C82D515" w14:textId="77777777" w:rsidR="00932FEC" w:rsidRPr="0048309D" w:rsidRDefault="00932FEC" w:rsidP="00932FEC">
      <w:pPr>
        <w:spacing w:after="0"/>
        <w:rPr>
          <w:rFonts w:asciiTheme="minorHAnsi" w:hAnsiTheme="minorHAnsi"/>
          <w:color w:val="auto"/>
        </w:rPr>
      </w:pPr>
    </w:p>
    <w:p w14:paraId="32355FDF" w14:textId="77777777" w:rsidR="00932FEC" w:rsidRPr="0048309D" w:rsidRDefault="00932FEC" w:rsidP="00932FEC">
      <w:pPr>
        <w:spacing w:after="0"/>
        <w:jc w:val="center"/>
        <w:rPr>
          <w:rFonts w:cs="Tahoma"/>
          <w:sz w:val="32"/>
          <w:szCs w:val="32"/>
        </w:rPr>
      </w:pPr>
      <w:r w:rsidRPr="0048309D">
        <w:rPr>
          <w:rFonts w:cs="Tahoma"/>
          <w:sz w:val="32"/>
          <w:szCs w:val="32"/>
        </w:rPr>
        <w:t>2020</w:t>
      </w:r>
    </w:p>
    <w:p w14:paraId="094A93F9" w14:textId="77777777" w:rsidR="00932FEC" w:rsidRDefault="00932FEC" w:rsidP="00932FEC">
      <w:pPr>
        <w:spacing w:after="0"/>
        <w:rPr>
          <w:rFonts w:cs="Tahoma"/>
          <w:color w:val="auto"/>
        </w:rPr>
      </w:pPr>
    </w:p>
    <w:p w14:paraId="0D1B5C53" w14:textId="77777777" w:rsidR="00932FEC" w:rsidRDefault="00932FEC" w:rsidP="00932FEC">
      <w:pPr>
        <w:spacing w:after="0"/>
        <w:rPr>
          <w:rFonts w:cs="Tahoma"/>
          <w:color w:val="auto"/>
        </w:rPr>
      </w:pPr>
    </w:p>
    <w:p w14:paraId="6DB19DB6" w14:textId="77777777" w:rsidR="00932FEC" w:rsidRDefault="00932FEC" w:rsidP="00932FEC">
      <w:pPr>
        <w:spacing w:after="0"/>
        <w:rPr>
          <w:rFonts w:cs="Tahoma"/>
          <w:color w:val="auto"/>
        </w:rPr>
      </w:pPr>
    </w:p>
    <w:p w14:paraId="51FC4CD9" w14:textId="0294D417" w:rsidR="00932FEC" w:rsidRPr="0048309D" w:rsidRDefault="00932FEC" w:rsidP="00932FEC">
      <w:pPr>
        <w:rPr>
          <w:b/>
          <w:bCs/>
        </w:rPr>
      </w:pPr>
      <w:r w:rsidRPr="0048309D">
        <w:rPr>
          <w:b/>
          <w:bCs/>
        </w:rPr>
        <w:t>Student Materials – pages 2-</w:t>
      </w:r>
      <w:r>
        <w:rPr>
          <w:b/>
          <w:bCs/>
        </w:rPr>
        <w:t>4</w:t>
      </w:r>
    </w:p>
    <w:p w14:paraId="571CF2E1" w14:textId="7AFADA6B" w:rsidR="00932FEC" w:rsidRPr="0048309D" w:rsidRDefault="00932FEC" w:rsidP="00932FEC">
      <w:pPr>
        <w:rPr>
          <w:rFonts w:cs="Verdana"/>
          <w:b/>
          <w:bCs/>
        </w:rPr>
      </w:pPr>
      <w:r w:rsidRPr="0048309D">
        <w:rPr>
          <w:b/>
          <w:bCs/>
        </w:rPr>
        <w:t xml:space="preserve">Teacher Guide – pages </w:t>
      </w:r>
      <w:r>
        <w:rPr>
          <w:b/>
          <w:bCs/>
        </w:rPr>
        <w:t>5</w:t>
      </w:r>
      <w:r w:rsidRPr="0048309D">
        <w:rPr>
          <w:b/>
          <w:bCs/>
        </w:rPr>
        <w:t>-</w:t>
      </w:r>
      <w:r>
        <w:rPr>
          <w:b/>
          <w:bCs/>
        </w:rPr>
        <w:t>7</w:t>
      </w:r>
    </w:p>
    <w:p w14:paraId="0C9E779C" w14:textId="77777777" w:rsidR="00932FEC" w:rsidRPr="0048309D" w:rsidRDefault="00932FEC" w:rsidP="00932FEC">
      <w:pPr>
        <w:spacing w:after="0"/>
        <w:rPr>
          <w:rFonts w:cs="Tahoma"/>
          <w:color w:val="auto"/>
        </w:rPr>
      </w:pPr>
    </w:p>
    <w:p w14:paraId="365F554B" w14:textId="77777777" w:rsidR="00932FEC" w:rsidRPr="0048309D" w:rsidRDefault="00932FEC" w:rsidP="00932FEC">
      <w:pPr>
        <w:spacing w:after="0"/>
        <w:rPr>
          <w:rFonts w:cs="Tahoma"/>
          <w:color w:val="auto"/>
        </w:rPr>
      </w:pPr>
    </w:p>
    <w:p w14:paraId="0257EBE0" w14:textId="77777777" w:rsidR="00932FEC" w:rsidRPr="0048309D" w:rsidRDefault="00932FEC" w:rsidP="00932FEC">
      <w:pPr>
        <w:spacing w:after="0"/>
        <w:rPr>
          <w:rFonts w:cs="Tahoma"/>
          <w:color w:val="auto"/>
        </w:rPr>
      </w:pPr>
      <w:r w:rsidRPr="0048309D">
        <w:rPr>
          <w:rFonts w:cs="Tahoma"/>
          <w:noProof/>
          <w:color w:val="auto"/>
        </w:rPr>
        <w:drawing>
          <wp:anchor distT="0" distB="0" distL="114300" distR="114300" simplePos="0" relativeHeight="251673600" behindDoc="0" locked="0" layoutInCell="1" allowOverlap="1" wp14:anchorId="4C8F3C7E" wp14:editId="2E1092EE">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0200AAC0" w14:textId="77777777" w:rsidR="00932FEC" w:rsidRPr="0048309D" w:rsidRDefault="00932FEC" w:rsidP="00932FEC">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2576" behindDoc="0" locked="0" layoutInCell="1" allowOverlap="1" wp14:anchorId="4CE17BA4" wp14:editId="015131DA">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6EA327F8" w14:textId="77777777" w:rsidR="00932FEC" w:rsidRPr="0048309D" w:rsidRDefault="00932FEC" w:rsidP="00932FEC">
      <w:pPr>
        <w:spacing w:after="0"/>
        <w:rPr>
          <w:rFonts w:asciiTheme="minorHAnsi" w:hAnsiTheme="minorHAnsi"/>
          <w:color w:val="auto"/>
        </w:rPr>
      </w:pPr>
    </w:p>
    <w:p w14:paraId="044149FB" w14:textId="77777777" w:rsidR="00932FEC" w:rsidRPr="0048309D" w:rsidRDefault="00932FEC" w:rsidP="00932FEC">
      <w:pPr>
        <w:spacing w:after="0"/>
        <w:rPr>
          <w:rFonts w:asciiTheme="minorHAnsi" w:hAnsiTheme="minorHAnsi"/>
          <w:color w:val="auto"/>
        </w:rPr>
      </w:pPr>
    </w:p>
    <w:p w14:paraId="19769CFE" w14:textId="0A4566B3" w:rsidR="00932FEC" w:rsidRDefault="00932FEC">
      <w:pPr>
        <w:spacing w:after="0"/>
        <w:rPr>
          <w:rFonts w:ascii="Rockwell" w:hAnsi="Rockwell"/>
          <w:color w:val="FFFFFF" w:themeColor="background1"/>
          <w:sz w:val="36"/>
          <w:szCs w:val="36"/>
        </w:rPr>
      </w:pPr>
      <w:r>
        <w:br w:type="page"/>
      </w:r>
    </w:p>
    <w:p w14:paraId="49682742" w14:textId="0433D7CF" w:rsidR="00105BED" w:rsidRPr="0027636B" w:rsidRDefault="00932FEC" w:rsidP="00105BED">
      <w:pPr>
        <w:pStyle w:val="Heading1"/>
      </w:pPr>
      <w:r w:rsidRPr="00601120">
        <w:rPr>
          <w:noProof/>
        </w:rPr>
        <w:lastRenderedPageBreak/>
        <w:drawing>
          <wp:anchor distT="0" distB="365760" distL="114300" distR="114300" simplePos="0" relativeHeight="251670528" behindDoc="0" locked="0" layoutInCell="1" allowOverlap="1" wp14:anchorId="53EAD28D" wp14:editId="4089DD3C">
            <wp:simplePos x="0" y="0"/>
            <wp:positionH relativeFrom="margin">
              <wp:posOffset>2527300</wp:posOffset>
            </wp:positionH>
            <wp:positionV relativeFrom="margin">
              <wp:posOffset>-444500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05BED">
        <w:t>SNAPSHOT</w:t>
      </w:r>
    </w:p>
    <w:p w14:paraId="18CBD8CC" w14:textId="747D719D" w:rsidR="008B5A46" w:rsidRDefault="008B5A46" w:rsidP="008B5A46">
      <w:pPr>
        <w:pStyle w:val="Title"/>
      </w:pPr>
      <w:r w:rsidRPr="008B5A46">
        <w:t>Direct</w:t>
      </w:r>
      <w:r>
        <w:t xml:space="preserve">-To-Consumer Testing </w:t>
      </w:r>
    </w:p>
    <w:p w14:paraId="54915C12" w14:textId="3FAADC22" w:rsidR="002769F3" w:rsidRPr="008B5A46" w:rsidRDefault="008B5A46" w:rsidP="008B5A46">
      <w:pPr>
        <w:pStyle w:val="Title"/>
      </w:pPr>
      <w:r>
        <w:t>in the Genomic Age</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 xml:space="preserve">Adapted for PBS </w:t>
      </w:r>
      <w:proofErr w:type="spellStart"/>
      <w:r w:rsidR="00E51BAD">
        <w:t>LearningMedia</w:t>
      </w:r>
      <w:proofErr w:type="spellEnd"/>
      <w:r w:rsidR="00E51BAD">
        <w:t xml:space="preserve">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2282A0DF" w14:textId="3DFB1C73" w:rsidR="008B5A46" w:rsidRPr="008B5A46" w:rsidRDefault="008B5A46" w:rsidP="008B5A46">
      <w:r w:rsidRPr="008B5A46">
        <w:t>The effort to read the human genetic code – to identify and sequence the ~20,000 human genes (and all the DNA in between) – was a huge accomplishment. Known as the Human Genome Project, it has laid the foundation for many new discoveries, tools, and medical tests that have emerged in the years since its completion in 2003.</w:t>
      </w:r>
    </w:p>
    <w:p w14:paraId="6364DC3E" w14:textId="77777777" w:rsidR="008B5A46" w:rsidRPr="008B5A46" w:rsidRDefault="008B5A46" w:rsidP="008B5A46">
      <w:r w:rsidRPr="008B5A46">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help extend people’s lives, and provide information about our shared human ancestry. As the cost of genetic analysis decreases and research advances, it is increasingly possible to include a person’s genetic make-up in the toolkit that informs their healthcare. </w:t>
      </w:r>
    </w:p>
    <w:p w14:paraId="2F62116A" w14:textId="77777777" w:rsidR="008B5A46" w:rsidRPr="008B5A46" w:rsidRDefault="008B5A46" w:rsidP="008B5A46">
      <w:pPr>
        <w:rPr>
          <w:b/>
          <w:bCs/>
          <w:lang w:val="en"/>
        </w:rPr>
      </w:pPr>
      <w:r w:rsidRPr="008B5A46">
        <w:t>The growing field of personal genetics is at the intersection of science and society. It is an exploration into the complex interactions through which our genes and our environment influence our physical, mental and behavioral states. As this field moves forward, conversation is needed about the meaning for individuals and society.</w:t>
      </w:r>
    </w:p>
    <w:p w14:paraId="02A8336C" w14:textId="71137352" w:rsidR="009F4F5B" w:rsidRDefault="009F4F5B" w:rsidP="009F4F5B">
      <w:pPr>
        <w:rPr>
          <w:bCs/>
          <w:lang w:val="en"/>
        </w:rPr>
      </w:pPr>
      <w:r w:rsidRPr="00CC2205">
        <w:rPr>
          <w:b/>
          <w:bCs/>
          <w:lang w:val="en"/>
        </w:rPr>
        <w:t xml:space="preserve">Watch the following videos and answer the questions on the </w:t>
      </w:r>
      <w:r>
        <w:rPr>
          <w:b/>
          <w:bCs/>
          <w:lang w:val="en"/>
        </w:rPr>
        <w:t>student worksheet</w:t>
      </w:r>
      <w:r w:rsidRPr="00CC2205">
        <w:rPr>
          <w:b/>
          <w:bCs/>
          <w:lang w:val="en"/>
        </w:rPr>
        <w:t>.</w:t>
      </w:r>
    </w:p>
    <w:p w14:paraId="09C95962" w14:textId="77777777" w:rsidR="009F4F5B" w:rsidRDefault="00AF3BA2" w:rsidP="009F4F5B">
      <w:pPr>
        <w:pStyle w:val="ListParagraph"/>
        <w:numPr>
          <w:ilvl w:val="0"/>
          <w:numId w:val="47"/>
        </w:numPr>
        <w:rPr>
          <w:bCs/>
          <w:lang w:val="en"/>
        </w:rPr>
      </w:pPr>
      <w:hyperlink r:id="rId13" w:history="1">
        <w:r w:rsidR="009F4F5B" w:rsidRPr="00CC2205">
          <w:rPr>
            <w:rStyle w:val="Hyperlink"/>
            <w:bCs/>
            <w:lang w:val="en"/>
          </w:rPr>
          <w:t>Direct-to-Consumer Testing in the Genomic Age</w:t>
        </w:r>
      </w:hyperlink>
    </w:p>
    <w:p w14:paraId="0C76AFFC" w14:textId="3F369AC9" w:rsidR="009F4F5B" w:rsidRDefault="00AF3BA2" w:rsidP="009F4F5B">
      <w:pPr>
        <w:pStyle w:val="ListParagraph"/>
        <w:numPr>
          <w:ilvl w:val="0"/>
          <w:numId w:val="47"/>
        </w:numPr>
        <w:rPr>
          <w:rStyle w:val="Hyperlink"/>
          <w:lang w:val="en"/>
        </w:rPr>
      </w:pPr>
      <w:hyperlink r:id="rId14" w:history="1">
        <w:r w:rsidR="009F4F5B" w:rsidRPr="00CC2205">
          <w:rPr>
            <w:rStyle w:val="Hyperlink"/>
            <w:lang w:val="en"/>
          </w:rPr>
          <w:t>PBS Learning Media: DTC Testing</w:t>
        </w:r>
      </w:hyperlink>
    </w:p>
    <w:p w14:paraId="2CDCF26E" w14:textId="73F95E68" w:rsidR="009F4F5B" w:rsidRDefault="009F4F5B" w:rsidP="009F4F5B">
      <w:pPr>
        <w:pStyle w:val="SectionHeader"/>
      </w:pPr>
      <w:r w:rsidRPr="009F4F5B">
        <w:lastRenderedPageBreak/>
        <w:t>Direct-To-Consumer Testing in the Genomic Age</w:t>
      </w:r>
    </w:p>
    <w:p w14:paraId="40A7A9C7" w14:textId="6EB72265" w:rsidR="009F4F5B" w:rsidRDefault="009F4F5B" w:rsidP="009F4F5B">
      <w:pPr>
        <w:pStyle w:val="Heading1"/>
      </w:pPr>
      <w:r>
        <w:t>STUDENT WORKSHEET</w:t>
      </w:r>
    </w:p>
    <w:p w14:paraId="3295CA7A" w14:textId="77777777" w:rsidR="009F4F5B" w:rsidRPr="009F4F5B" w:rsidRDefault="009F4F5B" w:rsidP="009F4F5B">
      <w:r w:rsidRPr="009F4F5B">
        <w:t xml:space="preserve">Name: _____________________________________ </w:t>
      </w:r>
      <w:r w:rsidRPr="009F4F5B">
        <w:tab/>
        <w:t>Date: ________________</w:t>
      </w:r>
    </w:p>
    <w:p w14:paraId="68807C93" w14:textId="77777777" w:rsidR="009F4F5B" w:rsidRPr="009F4F5B" w:rsidRDefault="009F4F5B" w:rsidP="009F4F5B">
      <w:pPr>
        <w:rPr>
          <w:rStyle w:val="IntenseEmphasis"/>
          <w:b w:val="0"/>
          <w:bCs/>
          <w:i w:val="0"/>
          <w:iCs w:val="0"/>
        </w:rPr>
      </w:pPr>
    </w:p>
    <w:p w14:paraId="1749C6B1" w14:textId="3515EE93" w:rsidR="009F4F5B" w:rsidRPr="009F4F5B" w:rsidRDefault="009F4F5B" w:rsidP="009F4F5B">
      <w:pPr>
        <w:pStyle w:val="ListParagraph"/>
        <w:numPr>
          <w:ilvl w:val="0"/>
          <w:numId w:val="49"/>
        </w:numPr>
        <w:ind w:left="360"/>
        <w:rPr>
          <w:rStyle w:val="IntenseEmphasis"/>
          <w:b w:val="0"/>
          <w:bCs/>
          <w:i w:val="0"/>
          <w:iCs w:val="0"/>
          <w:color w:val="404040" w:themeColor="text1" w:themeTint="BF"/>
        </w:rPr>
      </w:pPr>
      <w:r w:rsidRPr="009F4F5B">
        <w:rPr>
          <w:rStyle w:val="IntenseEmphasis"/>
          <w:b w:val="0"/>
          <w:bCs/>
          <w:i w:val="0"/>
          <w:iCs w:val="0"/>
          <w:color w:val="404040" w:themeColor="text1" w:themeTint="BF"/>
        </w:rPr>
        <w:t>What are the potential health benefits to knowing about your genetic makeup?</w:t>
      </w:r>
    </w:p>
    <w:p w14:paraId="04583DBC" w14:textId="77777777" w:rsidR="009F4F5B" w:rsidRPr="009F4F5B" w:rsidRDefault="009F4F5B" w:rsidP="009F4F5B"/>
    <w:p w14:paraId="48450912" w14:textId="77777777" w:rsidR="009F4F5B" w:rsidRPr="009F4F5B" w:rsidRDefault="009F4F5B" w:rsidP="009F4F5B"/>
    <w:p w14:paraId="1B79E516" w14:textId="77777777" w:rsidR="009F4F5B" w:rsidRPr="009F4F5B" w:rsidRDefault="009F4F5B" w:rsidP="009F4F5B"/>
    <w:p w14:paraId="2E5645E6" w14:textId="77777777" w:rsidR="009F4F5B" w:rsidRPr="009F4F5B" w:rsidRDefault="009F4F5B" w:rsidP="009F4F5B"/>
    <w:p w14:paraId="3EC45847" w14:textId="05652F2B" w:rsidR="009F4F5B" w:rsidRPr="009F4F5B" w:rsidRDefault="009F4F5B" w:rsidP="009F4F5B">
      <w:pPr>
        <w:pStyle w:val="ListParagraph"/>
        <w:numPr>
          <w:ilvl w:val="0"/>
          <w:numId w:val="49"/>
        </w:numPr>
        <w:ind w:left="360"/>
        <w:rPr>
          <w:rStyle w:val="IntenseEmphasis"/>
          <w:b w:val="0"/>
          <w:bCs/>
          <w:i w:val="0"/>
          <w:iCs w:val="0"/>
          <w:color w:val="404040" w:themeColor="text1" w:themeTint="BF"/>
        </w:rPr>
      </w:pPr>
      <w:r w:rsidRPr="009F4F5B">
        <w:rPr>
          <w:rStyle w:val="IntenseEmphasis"/>
          <w:b w:val="0"/>
          <w:bCs/>
          <w:i w:val="0"/>
          <w:iCs w:val="0"/>
          <w:color w:val="404040" w:themeColor="text1" w:themeTint="BF"/>
        </w:rPr>
        <w:t>What are the possible downsides to knowing about it?</w:t>
      </w:r>
    </w:p>
    <w:p w14:paraId="0D7B7FD3" w14:textId="77777777" w:rsidR="009F4F5B" w:rsidRPr="009F4F5B" w:rsidRDefault="009F4F5B" w:rsidP="009F4F5B"/>
    <w:p w14:paraId="55E387EF" w14:textId="77777777" w:rsidR="009F4F5B" w:rsidRPr="009F4F5B" w:rsidRDefault="009F4F5B" w:rsidP="009F4F5B"/>
    <w:p w14:paraId="14E2C434" w14:textId="77777777" w:rsidR="009F4F5B" w:rsidRPr="009F4F5B" w:rsidRDefault="009F4F5B" w:rsidP="009F4F5B"/>
    <w:p w14:paraId="5A8DB357" w14:textId="77777777" w:rsidR="009F4F5B" w:rsidRPr="009F4F5B" w:rsidRDefault="009F4F5B" w:rsidP="009F4F5B"/>
    <w:p w14:paraId="0925F025" w14:textId="39AAC631" w:rsidR="009F4F5B" w:rsidRPr="009F4F5B" w:rsidRDefault="009F4F5B" w:rsidP="009F4F5B">
      <w:pPr>
        <w:pStyle w:val="ListParagraph"/>
        <w:numPr>
          <w:ilvl w:val="0"/>
          <w:numId w:val="49"/>
        </w:numPr>
        <w:ind w:left="360"/>
        <w:rPr>
          <w:rStyle w:val="IntenseEmphasis"/>
          <w:b w:val="0"/>
          <w:bCs/>
          <w:i w:val="0"/>
          <w:iCs w:val="0"/>
          <w:color w:val="404040" w:themeColor="text1" w:themeTint="BF"/>
        </w:rPr>
      </w:pPr>
      <w:r w:rsidRPr="009F4F5B">
        <w:rPr>
          <w:rStyle w:val="IntenseEmphasis"/>
          <w:b w:val="0"/>
          <w:bCs/>
          <w:i w:val="0"/>
          <w:iCs w:val="0"/>
          <w:color w:val="404040" w:themeColor="text1" w:themeTint="BF"/>
        </w:rPr>
        <w:t>Aside from health and medical information, what else might you be curious to learn from your DNA?</w:t>
      </w:r>
    </w:p>
    <w:p w14:paraId="0F7A5F43" w14:textId="77777777" w:rsidR="009F4F5B" w:rsidRPr="000F0AB1" w:rsidRDefault="009F4F5B" w:rsidP="009F4F5B">
      <w:pPr>
        <w:spacing w:after="240"/>
      </w:pPr>
      <w:r w:rsidRPr="000F0AB1">
        <w:t xml:space="preserve"> </w:t>
      </w:r>
    </w:p>
    <w:p w14:paraId="02AF5F00" w14:textId="77777777" w:rsidR="009F4F5B" w:rsidRPr="009F4F5B" w:rsidRDefault="009F4F5B" w:rsidP="009F4F5B"/>
    <w:p w14:paraId="5A11DFD5" w14:textId="77777777" w:rsidR="008B5A46" w:rsidRDefault="008B5A46" w:rsidP="008B5A46">
      <w:pPr>
        <w:rPr>
          <w:b/>
          <w:bCs/>
          <w:lang w:val="en"/>
        </w:rPr>
      </w:pPr>
    </w:p>
    <w:p w14:paraId="6D2FDA97" w14:textId="77777777" w:rsidR="009F4F5B" w:rsidRDefault="009F4F5B" w:rsidP="009F4F5B">
      <w:pPr>
        <w:pStyle w:val="SectionHeader"/>
      </w:pPr>
      <w:r w:rsidRPr="009F4F5B">
        <w:lastRenderedPageBreak/>
        <w:t>Direct-To-Consumer Testing in the Genomic Age</w:t>
      </w:r>
    </w:p>
    <w:p w14:paraId="5FE1D6E1" w14:textId="38752347" w:rsidR="009F4F5B" w:rsidRDefault="009F4F5B" w:rsidP="009F4F5B">
      <w:pPr>
        <w:pStyle w:val="Heading1"/>
      </w:pPr>
      <w:r>
        <w:t>STUDENT WORKSHEET - EXTENSION</w:t>
      </w:r>
    </w:p>
    <w:p w14:paraId="7784C718" w14:textId="77777777" w:rsidR="009F4F5B" w:rsidRPr="009F4F5B" w:rsidRDefault="009F4F5B" w:rsidP="009F4F5B">
      <w:r w:rsidRPr="009F4F5B">
        <w:t xml:space="preserve">State whether you agree or disagree with the following statement and justify your answer. </w:t>
      </w:r>
    </w:p>
    <w:p w14:paraId="3BD6EC50" w14:textId="77777777" w:rsidR="009F4F5B" w:rsidRPr="009F4F5B" w:rsidRDefault="009F4F5B" w:rsidP="009F4F5B">
      <w:pPr>
        <w:rPr>
          <w:b/>
          <w:i/>
          <w:iCs/>
          <w:color w:val="C73527"/>
        </w:rPr>
      </w:pPr>
      <w:r w:rsidRPr="009F4F5B">
        <w:rPr>
          <w:b/>
          <w:i/>
          <w:iCs/>
          <w:color w:val="C73527"/>
        </w:rPr>
        <w:t>Parents should be able to find out whatever they would like about their children’s DNA, whether it be about ancestry or health, before they turn 18.</w:t>
      </w:r>
    </w:p>
    <w:p w14:paraId="0877CED4" w14:textId="77777777" w:rsidR="00907DFD" w:rsidRDefault="00907DFD" w:rsidP="00907DFD">
      <w:pPr>
        <w:pStyle w:val="SectionHeader"/>
      </w:pPr>
      <w:r w:rsidRPr="009F4F5B">
        <w:lastRenderedPageBreak/>
        <w:t>Direct-To-Consumer Testing in the Genomic Age</w:t>
      </w:r>
    </w:p>
    <w:p w14:paraId="51A9C5C0" w14:textId="77777777" w:rsidR="00907DFD" w:rsidRPr="00907DFD" w:rsidRDefault="00907DFD" w:rsidP="00907DFD">
      <w:pPr>
        <w:shd w:val="clear" w:color="auto" w:fill="C73527"/>
        <w:jc w:val="center"/>
        <w:outlineLvl w:val="0"/>
        <w:rPr>
          <w:rFonts w:ascii="Rockwell" w:hAnsi="Rockwell"/>
          <w:color w:val="FFFFFF" w:themeColor="background1"/>
          <w:sz w:val="36"/>
          <w:szCs w:val="36"/>
        </w:rPr>
      </w:pPr>
      <w:r w:rsidRPr="00907DFD">
        <w:rPr>
          <w:rFonts w:ascii="Rockwell" w:hAnsi="Rockwell"/>
          <w:color w:val="FFFFFF" w:themeColor="background1"/>
          <w:sz w:val="36"/>
          <w:szCs w:val="36"/>
        </w:rPr>
        <w:t>TEACHER’S GUIDE</w:t>
      </w:r>
    </w:p>
    <w:p w14:paraId="614342F9" w14:textId="05F0B89D" w:rsidR="008B5A46" w:rsidRPr="008B5A46" w:rsidRDefault="008B5A46" w:rsidP="008B5A46">
      <w:pPr>
        <w:pStyle w:val="Heading2"/>
        <w:rPr>
          <w:lang w:val="en"/>
        </w:rPr>
      </w:pPr>
      <w:r w:rsidRPr="008B5A46">
        <w:rPr>
          <w:lang w:val="en"/>
        </w:rPr>
        <w:t>Foundational concept</w:t>
      </w:r>
    </w:p>
    <w:p w14:paraId="3F71DC85" w14:textId="5F1BEF86" w:rsidR="00A7741D" w:rsidRDefault="008B5A46" w:rsidP="008B5A46">
      <w:r w:rsidRPr="008B5A46">
        <w:rPr>
          <w:lang w:val="en"/>
        </w:rPr>
        <w:t xml:space="preserve">An important theme throughout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Researchers are seeking to study the genome sequences and characteristics of many people to develop a better understanding of the interplay of nature and nurture in known diseases, with the hope that this would lead to better treatments, cures, preventative measures and healthier generations of children. </w:t>
      </w:r>
    </w:p>
    <w:p w14:paraId="19CA7B14" w14:textId="77777777" w:rsidR="00907DFD" w:rsidRPr="0040015E" w:rsidRDefault="00907DFD" w:rsidP="00907DFD">
      <w:pPr>
        <w:pStyle w:val="Heading2"/>
      </w:pPr>
      <w:r w:rsidRPr="0040015E">
        <w:t>Related pgEd lesson plans</w:t>
      </w:r>
    </w:p>
    <w:p w14:paraId="07E07D9E" w14:textId="77777777" w:rsidR="00907DFD" w:rsidRDefault="00907DFD" w:rsidP="00907DFD">
      <w:pPr>
        <w:pStyle w:val="ListParagraph"/>
        <w:numPr>
          <w:ilvl w:val="0"/>
          <w:numId w:val="44"/>
        </w:numPr>
        <w:spacing w:after="0" w:line="276" w:lineRule="auto"/>
      </w:pPr>
      <w:r w:rsidRPr="00166855">
        <w:t>This module w</w:t>
      </w:r>
      <w:r>
        <w:t>as</w:t>
      </w:r>
      <w:r w:rsidRPr="00166855">
        <w:t xml:space="preserve"> adapted from pgEd's lesson, </w:t>
      </w:r>
      <w:hyperlink r:id="rId15" w:anchor="intro" w:history="1">
        <w:r w:rsidRPr="00166855">
          <w:rPr>
            <w:rStyle w:val="Hyperlink"/>
          </w:rPr>
          <w:t>Introduction to Personal Genetics</w:t>
        </w:r>
      </w:hyperlink>
      <w:r>
        <w:t>.</w:t>
      </w:r>
      <w:r w:rsidRPr="0048548B">
        <w:t xml:space="preserve"> </w:t>
      </w:r>
      <w:r>
        <w:br/>
      </w:r>
    </w:p>
    <w:p w14:paraId="4A3FD796" w14:textId="77777777" w:rsidR="00907DFD" w:rsidRPr="008E3264" w:rsidRDefault="00907DFD" w:rsidP="00907DFD">
      <w:pPr>
        <w:pStyle w:val="ListParagraph"/>
        <w:numPr>
          <w:ilvl w:val="0"/>
          <w:numId w:val="44"/>
        </w:numPr>
      </w:pPr>
      <w:r w:rsidRPr="008E3264">
        <w:t xml:space="preserve">pgEd offers a full lesson on </w:t>
      </w:r>
      <w:hyperlink r:id="rId16" w:anchor="DTC" w:history="1">
        <w:r w:rsidRPr="008E3264">
          <w:rPr>
            <w:rStyle w:val="Hyperlink"/>
          </w:rPr>
          <w:t>Consumer Genetics</w:t>
        </w:r>
      </w:hyperlink>
      <w:r w:rsidRPr="008E3264">
        <w:t>, which delves deeper into this topic and includes an activity for setting up a classroom debate on this topic.</w:t>
      </w:r>
      <w:r w:rsidRPr="008E3264" w:rsidDel="00FD5485">
        <w:t xml:space="preserve"> </w:t>
      </w:r>
    </w:p>
    <w:p w14:paraId="562FDDB6" w14:textId="77777777" w:rsidR="008E3264" w:rsidRDefault="008E3264" w:rsidP="008E3264">
      <w:pPr>
        <w:pStyle w:val="Heading2"/>
      </w:pPr>
      <w:r w:rsidRPr="000F0AB1">
        <w:t>Additional resources for teachers</w:t>
      </w:r>
    </w:p>
    <w:p w14:paraId="05598343" w14:textId="77777777" w:rsidR="008E3264" w:rsidRDefault="008E3264" w:rsidP="008E3264">
      <w:r>
        <w:t>Amy Harmon’s "</w:t>
      </w:r>
      <w:hyperlink r:id="rId17" w:history="1">
        <w:r w:rsidRPr="009A372D">
          <w:rPr>
            <w:rStyle w:val="Hyperlink"/>
          </w:rPr>
          <w:t>DNA Age</w:t>
        </w:r>
      </w:hyperlink>
      <w:r>
        <w:t>"</w:t>
      </w:r>
      <w:r w:rsidRPr="005106BA">
        <w:t xml:space="preserve"> series in the </w:t>
      </w:r>
      <w:r w:rsidRPr="001704FF">
        <w:rPr>
          <w:i/>
        </w:rPr>
        <w:t>New York Times</w:t>
      </w:r>
      <w:r w:rsidRPr="005106BA">
        <w:t xml:space="preserve"> has news, analysis and video clips related to personal genetics. While some of the science has progressed, the issues Harmon examines are still timely.</w:t>
      </w:r>
    </w:p>
    <w:p w14:paraId="560D4348" w14:textId="77777777" w:rsidR="008E3264" w:rsidRDefault="008E3264" w:rsidP="008E3264">
      <w:r w:rsidRPr="005106BA">
        <w:t xml:space="preserve">The </w:t>
      </w:r>
      <w:hyperlink r:id="rId18"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08EF1A47" w14:textId="0B4F681A" w:rsidR="0040015E" w:rsidRDefault="008E3264" w:rsidP="008E3264">
      <w:pPr>
        <w:pStyle w:val="SectionHeader"/>
      </w:pPr>
      <w:r>
        <w:lastRenderedPageBreak/>
        <w:t>Direct-To-Consumer Testing in the Genomic Age</w:t>
      </w:r>
    </w:p>
    <w:p w14:paraId="00595E74" w14:textId="22F3F4B4" w:rsidR="008E3264" w:rsidRDefault="00907DFD" w:rsidP="008E3264">
      <w:pPr>
        <w:pStyle w:val="Heading1"/>
      </w:pPr>
      <w:bookmarkStart w:id="0" w:name="_DO_NOW_EXERCISE:"/>
      <w:bookmarkEnd w:id="0"/>
      <w:r>
        <w:t>STUDENT WORKSHEET</w:t>
      </w:r>
      <w:r w:rsidR="008E3264">
        <w:t>: TEACHER NOTES</w:t>
      </w:r>
    </w:p>
    <w:p w14:paraId="18731EBD" w14:textId="77777777" w:rsidR="008E3264" w:rsidRPr="00251AA3" w:rsidRDefault="008E3264" w:rsidP="008E3264">
      <w:pPr>
        <w:rPr>
          <w:rStyle w:val="IntenseEmphasis"/>
        </w:rPr>
      </w:pPr>
      <w:r w:rsidRPr="00251AA3">
        <w:rPr>
          <w:rStyle w:val="IntenseEmphasis"/>
        </w:rPr>
        <w:t>What are the potential health benefits to knowing about your genetic makeup?</w:t>
      </w:r>
    </w:p>
    <w:p w14:paraId="136EFBB9" w14:textId="77777777" w:rsidR="008E3264" w:rsidRDefault="008E3264" w:rsidP="008E3264">
      <w:r w:rsidRPr="003D19DE">
        <w:t xml:space="preserve">You can expect students to answer </w:t>
      </w:r>
      <w:r>
        <w:t>this question</w:t>
      </w:r>
      <w:r w:rsidRPr="003D19DE">
        <w:t xml:space="preserve"> with ideas related to taking steps to prevent or seek early treatment for a potential health condition. You may suggest that even if students learned of conditions without a current treatment, they could choose to become active in clinical trials or advocacy.</w:t>
      </w:r>
    </w:p>
    <w:p w14:paraId="23BBB17D" w14:textId="77777777" w:rsidR="008E3264" w:rsidRPr="00251AA3" w:rsidRDefault="008E3264" w:rsidP="008E3264">
      <w:pPr>
        <w:rPr>
          <w:rStyle w:val="IntenseEmphasis"/>
        </w:rPr>
      </w:pPr>
      <w:r w:rsidRPr="00251AA3">
        <w:rPr>
          <w:rStyle w:val="IntenseEmphasis"/>
        </w:rPr>
        <w:t>What are the possible downsides to knowing about it?</w:t>
      </w:r>
    </w:p>
    <w:p w14:paraId="7294D49C" w14:textId="77777777" w:rsidR="008E3264" w:rsidRDefault="008E3264" w:rsidP="008E3264">
      <w:r>
        <w:t>S</w:t>
      </w:r>
      <w:r w:rsidRPr="003D19DE">
        <w:t xml:space="preserve">tudents frequently raise concerns related to privacy and discrimination, as well as the emotional burden of learning about one’s genetic information. This can be an opportunity to tell students about the Genetic Information Non-discrimination Act (GINA), a US federal law that forbids the use of genetic information to discriminate against people in the areas of employment and health insurance. </w:t>
      </w:r>
    </w:p>
    <w:p w14:paraId="52AD5A75" w14:textId="1D08806F" w:rsidR="008E3264" w:rsidRDefault="008E3264" w:rsidP="008E3264">
      <w:pPr>
        <w:ind w:left="720"/>
      </w:pPr>
      <w:r>
        <w:rPr>
          <w:b/>
          <w:bCs/>
          <w:i/>
          <w:iCs/>
        </w:rPr>
        <w:t>Read more</w:t>
      </w:r>
      <w:r w:rsidRPr="00F36F44">
        <w:rPr>
          <w:b/>
          <w:bCs/>
          <w:i/>
          <w:iCs/>
        </w:rPr>
        <w:t>:</w:t>
      </w:r>
      <w:r>
        <w:rPr>
          <w:b/>
          <w:bCs/>
        </w:rPr>
        <w:t xml:space="preserve"> </w:t>
      </w:r>
      <w:r w:rsidRPr="003D19DE">
        <w:t xml:space="preserve">pgEd’s lesson </w:t>
      </w:r>
      <w:hyperlink r:id="rId19" w:history="1">
        <w:r w:rsidRPr="00C57B5E">
          <w:rPr>
            <w:rStyle w:val="Hyperlink"/>
          </w:rPr>
          <w:t>Privacy Protections for Genetic Information: Meet GINA</w:t>
        </w:r>
      </w:hyperlink>
      <w:r w:rsidRPr="003D19DE">
        <w:t xml:space="preserve"> focuses on the protections extended by GINA.</w:t>
      </w:r>
    </w:p>
    <w:p w14:paraId="5F742906" w14:textId="77777777" w:rsidR="008E3264" w:rsidRPr="00FD73C1" w:rsidRDefault="008E3264" w:rsidP="008E3264">
      <w:r w:rsidRPr="003D19DE">
        <w:t>Students often think that genetics will give them definitive, life-altering answers,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environment, and health.</w:t>
      </w:r>
    </w:p>
    <w:p w14:paraId="0656A1F3" w14:textId="77777777" w:rsidR="008E3264" w:rsidRPr="00251AA3" w:rsidRDefault="008E3264" w:rsidP="008E3264">
      <w:pPr>
        <w:rPr>
          <w:rStyle w:val="IntenseEmphasis"/>
        </w:rPr>
      </w:pPr>
      <w:r w:rsidRPr="00251AA3">
        <w:rPr>
          <w:rStyle w:val="IntenseEmphasis"/>
        </w:rPr>
        <w:t>Aside from health and medical information, what else might you be curious to learn from your DNA?</w:t>
      </w:r>
    </w:p>
    <w:p w14:paraId="5913CBD0" w14:textId="448FA7CA" w:rsidR="008E3264" w:rsidRPr="008E3264" w:rsidRDefault="008E3264" w:rsidP="008E3264">
      <w:r>
        <w:t>Students</w:t>
      </w:r>
      <w:r w:rsidRPr="003D19DE">
        <w:t xml:space="preserve"> frequently mention learning about their ancestry and finding biological relatives. Many students will be familiar with the concept of ancestry testing, and as time goes on, some may have direct experience with it. Students who are adopted or living apart from biological relatives often will specifically mention these possibilities and may be interested in reading any one of the hundreds of news stories about people’s direct experiences with using ancestry tools to locate biological family connections.</w:t>
      </w:r>
    </w:p>
    <w:p w14:paraId="3AB232AA" w14:textId="3CB02E91" w:rsidR="00A7741D" w:rsidRDefault="000168F4" w:rsidP="00A7741D">
      <w:pPr>
        <w:pStyle w:val="SectionHeader"/>
      </w:pPr>
      <w:r>
        <w:lastRenderedPageBreak/>
        <w:t>Direct-To-Consumer Testing</w:t>
      </w:r>
      <w:r w:rsidR="00A7741D" w:rsidRPr="006B1342">
        <w:t xml:space="preserve"> in the Genomic Age</w:t>
      </w:r>
    </w:p>
    <w:p w14:paraId="08BE1BCE" w14:textId="03FF6CBE" w:rsidR="000168F4" w:rsidRPr="000168F4" w:rsidRDefault="000168F4" w:rsidP="000168F4">
      <w:pPr>
        <w:pStyle w:val="Heading1"/>
      </w:pPr>
      <w:bookmarkStart w:id="1" w:name="_FOUR_CORNERS_ACTIVITY:"/>
      <w:bookmarkStart w:id="2" w:name="_EXTENDING_THE_LESSON:"/>
      <w:bookmarkEnd w:id="1"/>
      <w:bookmarkEnd w:id="2"/>
      <w:r w:rsidRPr="000168F4">
        <w:t>EXTENDING THE LESSON:</w:t>
      </w:r>
      <w:r w:rsidRPr="000168F4">
        <w:br/>
        <w:t>TEACHER NOTES</w:t>
      </w:r>
    </w:p>
    <w:p w14:paraId="52B4783A" w14:textId="77777777" w:rsidR="000168F4" w:rsidRPr="00A60137" w:rsidRDefault="000168F4" w:rsidP="000168F4">
      <w:r w:rsidRPr="00A60137">
        <w:t xml:space="preserve">Ask students whether they agree or disagree with the following statement. Why or Why not? </w:t>
      </w:r>
    </w:p>
    <w:p w14:paraId="70752681" w14:textId="77777777" w:rsidR="000168F4" w:rsidRPr="00913327" w:rsidRDefault="000168F4" w:rsidP="000168F4">
      <w:pPr>
        <w:rPr>
          <w:rStyle w:val="IntenseEmphasis"/>
        </w:rPr>
      </w:pPr>
      <w:r w:rsidRPr="00A60137">
        <w:rPr>
          <w:rStyle w:val="IntenseEmphasis"/>
        </w:rPr>
        <w:t>Parents should be able to find out whatever they would like about their children’s DNA, whether it be about ancestry or health, before they turn 18.</w:t>
      </w:r>
    </w:p>
    <w:p w14:paraId="5953101C" w14:textId="77777777" w:rsidR="000168F4" w:rsidRPr="00925A00" w:rsidRDefault="000168F4" w:rsidP="000168F4">
      <w:r w:rsidRPr="00925A00">
        <w:t xml:space="preserve">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Many students may have already had their DNA assessed in some way via prenatal genetic screening or newborn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such as those for diseases with childhood onset? If genome sequencing is performed, should only specific types of information be provided to parents? Is ancestry information considered “sensitive” or not? </w:t>
      </w:r>
    </w:p>
    <w:p w14:paraId="629DD5B7" w14:textId="77777777" w:rsidR="000168F4" w:rsidRDefault="000168F4" w:rsidP="000168F4">
      <w:pPr>
        <w:spacing w:after="240"/>
      </w:pPr>
      <w:r w:rsidRPr="00925A00">
        <w:t xml:space="preserve">In the realm of medical genetic testing, the American College of Medical Genetics and Genomics (ACMG) offers guidelines regarding the reporting of incidental, or secondary, findings when performing genome sequencing. It recommends doctors only tell patients about findings of specific genetic variants that are associated with serious disorders that have practical things that can be done to mitigate the associated risk. Patients are allowed to opt-out of receiving these results during pre-testing counselling. </w:t>
      </w:r>
    </w:p>
    <w:p w14:paraId="5C1CBBA0" w14:textId="77777777" w:rsidR="000168F4" w:rsidRPr="00A8106D" w:rsidRDefault="000168F4" w:rsidP="000168F4">
      <w:pPr>
        <w:spacing w:after="240"/>
        <w:ind w:left="720"/>
        <w:rPr>
          <w:b/>
          <w:bCs/>
        </w:rPr>
      </w:pPr>
      <w:r w:rsidRPr="00364FEE">
        <w:rPr>
          <w:b/>
          <w:bCs/>
          <w:i/>
          <w:iCs/>
        </w:rPr>
        <w:t>Read more:</w:t>
      </w:r>
      <w:r>
        <w:rPr>
          <w:b/>
          <w:bCs/>
        </w:rPr>
        <w:t xml:space="preserve"> </w:t>
      </w:r>
      <w:r w:rsidRPr="00925A00">
        <w:t xml:space="preserve">More on the ACMG’s recommendations, which generated much debate and discussion, can be found here: </w:t>
      </w:r>
      <w:r>
        <w:t>"</w:t>
      </w:r>
      <w:hyperlink r:id="rId20" w:history="1">
        <w:r w:rsidRPr="00925A00">
          <w:rPr>
            <w:rStyle w:val="Hyperlink"/>
          </w:rPr>
          <w:t>Considering ACMG’s practice guidelines for incidental genomic findings</w:t>
        </w:r>
      </w:hyperlink>
      <w:r>
        <w:t>"</w:t>
      </w:r>
      <w:r w:rsidRPr="00925A00">
        <w:t xml:space="preserve"> and </w:t>
      </w:r>
      <w:r>
        <w:t>"</w:t>
      </w:r>
      <w:hyperlink r:id="rId21" w:history="1">
        <w:r w:rsidRPr="00925A00">
          <w:rPr>
            <w:rStyle w:val="Hyperlink"/>
          </w:rPr>
          <w:t>ACMG SF 2.0</w:t>
        </w:r>
      </w:hyperlink>
      <w:r>
        <w:t>".</w:t>
      </w:r>
    </w:p>
    <w:p w14:paraId="5556C36A" w14:textId="77777777" w:rsidR="000168F4" w:rsidRPr="00103309" w:rsidRDefault="000168F4" w:rsidP="000168F4"/>
    <w:p w14:paraId="5D3B541F" w14:textId="55E1CE4E" w:rsidR="00035667" w:rsidRPr="00035667" w:rsidRDefault="00035667" w:rsidP="000168F4">
      <w:pPr>
        <w:rPr>
          <w:rFonts w:cs="Tahoma"/>
          <w:bCs/>
          <w:i/>
          <w:iCs/>
        </w:rPr>
      </w:pPr>
    </w:p>
    <w:sectPr w:rsidR="00035667" w:rsidRPr="00035667" w:rsidSect="00E51BAD">
      <w:footerReference w:type="even" r:id="rId22"/>
      <w:footerReference w:type="default" r:id="rId23"/>
      <w:footerReference w:type="first" r:id="rId24"/>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6192" w14:textId="77777777" w:rsidR="00AF3BA2" w:rsidRDefault="00AF3BA2" w:rsidP="005106BA">
      <w:pPr>
        <w:spacing w:after="0"/>
      </w:pPr>
      <w:r>
        <w:separator/>
      </w:r>
    </w:p>
  </w:endnote>
  <w:endnote w:type="continuationSeparator" w:id="0">
    <w:p w14:paraId="073115CD" w14:textId="77777777" w:rsidR="00AF3BA2" w:rsidRDefault="00AF3BA2"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253BE81C" w:rsidR="00E51BAD" w:rsidRPr="00932FEC" w:rsidRDefault="00932FEC" w:rsidP="00932FEC">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3811" w14:textId="77777777" w:rsidR="00AF3BA2" w:rsidRDefault="00AF3BA2" w:rsidP="005106BA">
      <w:pPr>
        <w:spacing w:after="0"/>
      </w:pPr>
      <w:r>
        <w:separator/>
      </w:r>
    </w:p>
  </w:footnote>
  <w:footnote w:type="continuationSeparator" w:id="0">
    <w:p w14:paraId="3FC2B7E9" w14:textId="77777777" w:rsidR="00AF3BA2" w:rsidRDefault="00AF3BA2"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62066B"/>
    <w:multiLevelType w:val="hybridMultilevel"/>
    <w:tmpl w:val="D79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C7E1F"/>
    <w:multiLevelType w:val="hybridMultilevel"/>
    <w:tmpl w:val="609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9"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E1507"/>
    <w:multiLevelType w:val="hybridMultilevel"/>
    <w:tmpl w:val="943C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111D2"/>
    <w:multiLevelType w:val="hybridMultilevel"/>
    <w:tmpl w:val="D6C6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D2477"/>
    <w:multiLevelType w:val="hybridMultilevel"/>
    <w:tmpl w:val="6B5AE9FC"/>
    <w:lvl w:ilvl="0" w:tplc="623E8352">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0"/>
  </w:num>
  <w:num w:numId="4">
    <w:abstractNumId w:val="1"/>
  </w:num>
  <w:num w:numId="5">
    <w:abstractNumId w:val="31"/>
  </w:num>
  <w:num w:numId="6">
    <w:abstractNumId w:val="40"/>
  </w:num>
  <w:num w:numId="7">
    <w:abstractNumId w:val="13"/>
  </w:num>
  <w:num w:numId="8">
    <w:abstractNumId w:val="4"/>
  </w:num>
  <w:num w:numId="9">
    <w:abstractNumId w:val="37"/>
  </w:num>
  <w:num w:numId="10">
    <w:abstractNumId w:val="38"/>
  </w:num>
  <w:num w:numId="11">
    <w:abstractNumId w:val="19"/>
  </w:num>
  <w:num w:numId="12">
    <w:abstractNumId w:val="2"/>
  </w:num>
  <w:num w:numId="13">
    <w:abstractNumId w:val="36"/>
    <w:lvlOverride w:ilvl="0">
      <w:startOverride w:val="1"/>
    </w:lvlOverride>
  </w:num>
  <w:num w:numId="14">
    <w:abstractNumId w:val="41"/>
  </w:num>
  <w:num w:numId="15">
    <w:abstractNumId w:val="8"/>
  </w:num>
  <w:num w:numId="16">
    <w:abstractNumId w:val="34"/>
  </w:num>
  <w:num w:numId="17">
    <w:abstractNumId w:val="9"/>
  </w:num>
  <w:num w:numId="18">
    <w:abstractNumId w:val="47"/>
  </w:num>
  <w:num w:numId="19">
    <w:abstractNumId w:val="11"/>
  </w:num>
  <w:num w:numId="20">
    <w:abstractNumId w:val="44"/>
  </w:num>
  <w:num w:numId="21">
    <w:abstractNumId w:val="25"/>
  </w:num>
  <w:num w:numId="22">
    <w:abstractNumId w:val="3"/>
  </w:num>
  <w:num w:numId="23">
    <w:abstractNumId w:val="43"/>
  </w:num>
  <w:num w:numId="24">
    <w:abstractNumId w:val="35"/>
  </w:num>
  <w:num w:numId="25">
    <w:abstractNumId w:val="20"/>
  </w:num>
  <w:num w:numId="26">
    <w:abstractNumId w:val="29"/>
  </w:num>
  <w:num w:numId="27">
    <w:abstractNumId w:val="15"/>
  </w:num>
  <w:num w:numId="28">
    <w:abstractNumId w:val="33"/>
  </w:num>
  <w:num w:numId="29">
    <w:abstractNumId w:val="18"/>
  </w:num>
  <w:num w:numId="30">
    <w:abstractNumId w:val="32"/>
  </w:num>
  <w:num w:numId="31">
    <w:abstractNumId w:val="12"/>
  </w:num>
  <w:num w:numId="32">
    <w:abstractNumId w:val="14"/>
  </w:num>
  <w:num w:numId="33">
    <w:abstractNumId w:val="30"/>
  </w:num>
  <w:num w:numId="34">
    <w:abstractNumId w:val="24"/>
  </w:num>
  <w:num w:numId="35">
    <w:abstractNumId w:val="22"/>
  </w:num>
  <w:num w:numId="36">
    <w:abstractNumId w:val="45"/>
  </w:num>
  <w:num w:numId="37">
    <w:abstractNumId w:val="28"/>
  </w:num>
  <w:num w:numId="38">
    <w:abstractNumId w:val="21"/>
  </w:num>
  <w:num w:numId="39">
    <w:abstractNumId w:val="39"/>
  </w:num>
  <w:num w:numId="40">
    <w:abstractNumId w:val="7"/>
  </w:num>
  <w:num w:numId="41">
    <w:abstractNumId w:val="46"/>
  </w:num>
  <w:num w:numId="42">
    <w:abstractNumId w:val="42"/>
  </w:num>
  <w:num w:numId="43">
    <w:abstractNumId w:val="26"/>
  </w:num>
  <w:num w:numId="44">
    <w:abstractNumId w:val="10"/>
  </w:num>
  <w:num w:numId="45">
    <w:abstractNumId w:val="6"/>
  </w:num>
  <w:num w:numId="46">
    <w:abstractNumId w:val="5"/>
  </w:num>
  <w:num w:numId="47">
    <w:abstractNumId w:val="27"/>
  </w:num>
  <w:num w:numId="48">
    <w:abstractNumId w:val="2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168F4"/>
    <w:rsid w:val="00031D48"/>
    <w:rsid w:val="00034B5F"/>
    <w:rsid w:val="00035667"/>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7CA"/>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60B40"/>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0015E"/>
    <w:rsid w:val="00431A50"/>
    <w:rsid w:val="00467C3C"/>
    <w:rsid w:val="00472381"/>
    <w:rsid w:val="00477AEC"/>
    <w:rsid w:val="00482D02"/>
    <w:rsid w:val="0048465C"/>
    <w:rsid w:val="004869FB"/>
    <w:rsid w:val="004A6A01"/>
    <w:rsid w:val="004B19C3"/>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406F"/>
    <w:rsid w:val="00606C6D"/>
    <w:rsid w:val="006248BE"/>
    <w:rsid w:val="006252F1"/>
    <w:rsid w:val="00631598"/>
    <w:rsid w:val="00642C5E"/>
    <w:rsid w:val="00654A6D"/>
    <w:rsid w:val="006602E9"/>
    <w:rsid w:val="00664F98"/>
    <w:rsid w:val="00670288"/>
    <w:rsid w:val="006716AA"/>
    <w:rsid w:val="00673166"/>
    <w:rsid w:val="00677C15"/>
    <w:rsid w:val="00680491"/>
    <w:rsid w:val="006841F0"/>
    <w:rsid w:val="00685A88"/>
    <w:rsid w:val="006946F2"/>
    <w:rsid w:val="006A4341"/>
    <w:rsid w:val="006B1342"/>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2647"/>
    <w:rsid w:val="00764787"/>
    <w:rsid w:val="00765176"/>
    <w:rsid w:val="00781FF7"/>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B5A46"/>
    <w:rsid w:val="008C0D68"/>
    <w:rsid w:val="008E3264"/>
    <w:rsid w:val="008E75C6"/>
    <w:rsid w:val="008F11CC"/>
    <w:rsid w:val="008F33D3"/>
    <w:rsid w:val="009031D0"/>
    <w:rsid w:val="00904390"/>
    <w:rsid w:val="009073C1"/>
    <w:rsid w:val="00907DFD"/>
    <w:rsid w:val="009161BD"/>
    <w:rsid w:val="009329E8"/>
    <w:rsid w:val="00932FEC"/>
    <w:rsid w:val="00933D0C"/>
    <w:rsid w:val="00937B93"/>
    <w:rsid w:val="00943804"/>
    <w:rsid w:val="00945E5A"/>
    <w:rsid w:val="0096601D"/>
    <w:rsid w:val="00985FBE"/>
    <w:rsid w:val="009A372D"/>
    <w:rsid w:val="009C5C40"/>
    <w:rsid w:val="009C6C74"/>
    <w:rsid w:val="009F4F5B"/>
    <w:rsid w:val="009F7B08"/>
    <w:rsid w:val="00A06995"/>
    <w:rsid w:val="00A12884"/>
    <w:rsid w:val="00A27EA5"/>
    <w:rsid w:val="00A4035E"/>
    <w:rsid w:val="00A61113"/>
    <w:rsid w:val="00A637F1"/>
    <w:rsid w:val="00A67782"/>
    <w:rsid w:val="00A7078A"/>
    <w:rsid w:val="00A7741D"/>
    <w:rsid w:val="00A81A0C"/>
    <w:rsid w:val="00A8707E"/>
    <w:rsid w:val="00A87142"/>
    <w:rsid w:val="00A923CA"/>
    <w:rsid w:val="00A93DFE"/>
    <w:rsid w:val="00AA1D77"/>
    <w:rsid w:val="00AA6521"/>
    <w:rsid w:val="00AB19A9"/>
    <w:rsid w:val="00AC1170"/>
    <w:rsid w:val="00AC7D16"/>
    <w:rsid w:val="00AD10C9"/>
    <w:rsid w:val="00AF063B"/>
    <w:rsid w:val="00AF3BA2"/>
    <w:rsid w:val="00AF7754"/>
    <w:rsid w:val="00AF7AC5"/>
    <w:rsid w:val="00B11F94"/>
    <w:rsid w:val="00B13077"/>
    <w:rsid w:val="00B2154A"/>
    <w:rsid w:val="00B27193"/>
    <w:rsid w:val="00B36739"/>
    <w:rsid w:val="00B37849"/>
    <w:rsid w:val="00B53528"/>
    <w:rsid w:val="00B6598D"/>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1"/>
    <w:rsid w:val="00C41F6A"/>
    <w:rsid w:val="00C466B9"/>
    <w:rsid w:val="00C57B5E"/>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58B3"/>
    <w:rsid w:val="00E97195"/>
    <w:rsid w:val="00EA0B41"/>
    <w:rsid w:val="00EA5C6B"/>
    <w:rsid w:val="00EA710E"/>
    <w:rsid w:val="00EB7EED"/>
    <w:rsid w:val="00ED066B"/>
    <w:rsid w:val="00ED0A1D"/>
    <w:rsid w:val="00EF43AE"/>
    <w:rsid w:val="00F05E96"/>
    <w:rsid w:val="00F10B6C"/>
    <w:rsid w:val="00F13A2C"/>
    <w:rsid w:val="00F1530A"/>
    <w:rsid w:val="00F239FF"/>
    <w:rsid w:val="00F31BCE"/>
    <w:rsid w:val="00F31C85"/>
    <w:rsid w:val="00F41CC5"/>
    <w:rsid w:val="00F457A7"/>
    <w:rsid w:val="00F469C1"/>
    <w:rsid w:val="00F50972"/>
    <w:rsid w:val="00F64988"/>
    <w:rsid w:val="00FA7BBE"/>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hy-cALBATw&amp;feature=youtu.be" TargetMode="External"/><Relationship Id="rId18" Type="http://schemas.openxmlformats.org/officeDocument/2006/relationships/hyperlink" Target="http://www.thehastingscente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ure.com/articles/gim201619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opics.nytimes.com/topics/news/national/series/dnaage/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ged.org/lesson-plans/" TargetMode="External"/><Relationship Id="rId20" Type="http://schemas.openxmlformats.org/officeDocument/2006/relationships/hyperlink" Target="https://www.ncbi.nlm.nih.gov/pmc/articles/PMC3727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ged.org/lesson-plans/"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pged.org/educational-resources-for-distance-learni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ass.pbslearningmedia.org/resource/649544c3-f20f-49ae-b731-571930d6fcbc/direct-to-consumer-testing-in-the-genomic-age-video-ken-burns-the-gene/support-material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19</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5</cp:revision>
  <cp:lastPrinted>2019-04-04T16:53:00Z</cp:lastPrinted>
  <dcterms:created xsi:type="dcterms:W3CDTF">2020-11-23T22:56:00Z</dcterms:created>
  <dcterms:modified xsi:type="dcterms:W3CDTF">2020-12-18T23:20:00Z</dcterms:modified>
</cp:coreProperties>
</file>